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F2E" w:rsidRDefault="004C4F2E" w:rsidP="004C4F2E">
      <w:pPr>
        <w:spacing w:after="280"/>
        <w:jc w:val="center"/>
        <w:rPr>
          <w:rFonts w:ascii="Calibri" w:hAnsi="Calibri" w:cs="Calibri"/>
          <w:b/>
          <w:color w:val="FF0000"/>
          <w:sz w:val="36"/>
        </w:rPr>
      </w:pPr>
      <w:r w:rsidRPr="004C4F2E">
        <w:rPr>
          <w:rFonts w:ascii="Calibri" w:hAnsi="Calibri" w:cs="Calibri"/>
          <w:b/>
          <w:color w:val="FF0000"/>
          <w:sz w:val="36"/>
        </w:rPr>
        <w:t>STRUMENTI INNOVATIVI DI PREVENZIONE E GESTIONE DEL BURN-OUT - INDIVIDUALE</w:t>
      </w:r>
    </w:p>
    <w:tbl>
      <w:tblPr>
        <w:tblW w:w="0" w:type="auto"/>
        <w:tblCellSpacing w:w="15" w:type="dxa"/>
        <w:tblCellMar>
          <w:top w:w="15" w:type="dxa"/>
          <w:left w:w="8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7625"/>
      </w:tblGrid>
      <w:tr w:rsidR="004C4F2E" w:rsidTr="004C4F2E">
        <w:trPr>
          <w:divId w:val="1114717169"/>
          <w:tblCellSpacing w:w="15" w:type="dxa"/>
        </w:trPr>
        <w:tc>
          <w:tcPr>
            <w:tcW w:w="2000" w:type="dxa"/>
            <w:shd w:val="clear" w:color="auto" w:fill="FF0000"/>
            <w:vAlign w:val="center"/>
            <w:hideMark/>
          </w:tcPr>
          <w:p w:rsidR="004C4F2E" w:rsidRPr="004C4F2E" w:rsidRDefault="004C4F2E" w:rsidP="004C4F2E">
            <w:pPr>
              <w:spacing w:after="120"/>
              <w:ind w:right="60"/>
              <w:jc w:val="right"/>
              <w:rPr>
                <w:rFonts w:ascii="Calibri" w:eastAsia="Times New Roman" w:hAnsi="Calibri" w:cs="Calibri"/>
                <w:b/>
                <w:i/>
                <w:color w:val="FFFFFF"/>
                <w:sz w:val="28"/>
                <w:szCs w:val="24"/>
              </w:rPr>
            </w:pPr>
            <w:r w:rsidRPr="004C4F2E">
              <w:rPr>
                <w:rFonts w:ascii="Calibri" w:eastAsia="Times New Roman" w:hAnsi="Calibri" w:cs="Calibri"/>
                <w:b/>
                <w:i/>
                <w:color w:val="FFFFFF"/>
                <w:sz w:val="28"/>
              </w:rPr>
              <w:t xml:space="preserve">A chi è rivolto </w:t>
            </w:r>
          </w:p>
        </w:tc>
        <w:tc>
          <w:tcPr>
            <w:tcW w:w="8000" w:type="dxa"/>
            <w:hideMark/>
          </w:tcPr>
          <w:p w:rsidR="004C4F2E" w:rsidRPr="004C4F2E" w:rsidRDefault="004C4F2E" w:rsidP="004C4F2E">
            <w:pPr>
              <w:spacing w:before="80" w:after="120" w:line="220" w:lineRule="auto"/>
              <w:jc w:val="both"/>
              <w:divId w:val="1600872560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 xml:space="preserve">Possono partecipare lavoratori con regolare contratto di lavoro; titolari d'impresa o componenti del CDA solo se in possesso di regolare contratto di lavoro (posizione INAIL); soci di cooperative. Sono esclusi i titolari di microimprese. I partecipanti al corso devono prestare l'attività lavorativa in unità operative localizzate sul territorio del FVG. 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1504320638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Nello specifico, il corso è rivolto preferibilmente a Manager, quadri, direzioni aziendali fino alle linee operative, date le caratteristiche trasversali delle tematiche trattate, declinabili nelle specificità organizzative e professionali di ogni settore e ruolo. È adatto a chiunque desideri sviluppare competenze pratiche per prevenire e gestire il burn-out, migliorare il benessere individuale e contribuire a un ambiente lavorativo sano e inclusivo, in particolare: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810942701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dipendenti in ogni settore che desiderano apprendere tecniche concrete e innovative per raggiungere tali obiettivi;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78912955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manager e leader aziendali interessati a migliorare la produttività e ridurre il turnover;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716197456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professionisti delle risorse umane che vogliono implementare politiche aziendali efficaci per la prevenzione e gestione dello stress e del burn-out;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2112504355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coloro che ricoprono ruoli di tutoring e formazione, interessati a fornire supporto specifico a fini preventivi.</w:t>
            </w:r>
          </w:p>
        </w:tc>
      </w:tr>
      <w:tr w:rsidR="004C4F2E" w:rsidTr="004C4F2E">
        <w:trPr>
          <w:divId w:val="1114717169"/>
          <w:tblCellSpacing w:w="15" w:type="dxa"/>
        </w:trPr>
        <w:tc>
          <w:tcPr>
            <w:tcW w:w="2000" w:type="dxa"/>
            <w:shd w:val="clear" w:color="auto" w:fill="FFFFFF"/>
            <w:vAlign w:val="center"/>
            <w:hideMark/>
          </w:tcPr>
          <w:p w:rsidR="004C4F2E" w:rsidRPr="004C4F2E" w:rsidRDefault="004C4F2E" w:rsidP="004C4F2E">
            <w:pPr>
              <w:spacing w:after="120"/>
              <w:ind w:right="60"/>
              <w:jc w:val="right"/>
              <w:rPr>
                <w:rFonts w:ascii="Calibri" w:eastAsia="Times New Roman" w:hAnsi="Calibri" w:cs="Calibri"/>
                <w:b/>
                <w:i/>
                <w:color w:val="FF0000"/>
                <w:sz w:val="28"/>
              </w:rPr>
            </w:pPr>
            <w:r w:rsidRPr="004C4F2E">
              <w:rPr>
                <w:rFonts w:ascii="Calibri" w:eastAsia="Times New Roman" w:hAnsi="Calibri" w:cs="Calibri"/>
                <w:b/>
                <w:i/>
                <w:color w:val="FF0000"/>
                <w:sz w:val="28"/>
              </w:rPr>
              <w:t xml:space="preserve">Perché partecipare </w:t>
            </w:r>
          </w:p>
        </w:tc>
        <w:tc>
          <w:tcPr>
            <w:tcW w:w="8000" w:type="dxa"/>
            <w:hideMark/>
          </w:tcPr>
          <w:p w:rsidR="004C4F2E" w:rsidRPr="004C4F2E" w:rsidRDefault="004C4F2E" w:rsidP="004C4F2E">
            <w:pPr>
              <w:spacing w:before="80" w:after="120" w:line="220" w:lineRule="auto"/>
              <w:jc w:val="both"/>
              <w:divId w:val="1644113853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Il corso sviluppa competenze per comprendere, prevenire e gestire il burn-out in contesti occupazionali. Gli obiettivi includono l'identificazione precoce dei segnali di burn-out, lo sviluppo di strategie personalizzate di gestione dello stress, la promozione di relazioni positive e l'adozione di strumenti e strategie per migliorare la qualità della vita lavorativa. Il corso mira anche a sensibilizzare sulle problematiche di inclusione e diversità, integrando il quadro normativo di riferimento per burn-out e mobbing. Gli allievi acquisiranno competenze trasversali, promuovendo un approccio imprenditoriale al proprio benessere e contribuendo a una cultura aziendale orientata al benessere, all'inclusività e alla sostenibilità.</w:t>
            </w:r>
          </w:p>
        </w:tc>
      </w:tr>
      <w:tr w:rsidR="004C4F2E" w:rsidTr="004C4F2E">
        <w:trPr>
          <w:divId w:val="1114717169"/>
          <w:tblCellSpacing w:w="15" w:type="dxa"/>
        </w:trPr>
        <w:tc>
          <w:tcPr>
            <w:tcW w:w="2000" w:type="dxa"/>
            <w:shd w:val="clear" w:color="auto" w:fill="FF0000"/>
            <w:vAlign w:val="center"/>
            <w:hideMark/>
          </w:tcPr>
          <w:p w:rsidR="004C4F2E" w:rsidRPr="004C4F2E" w:rsidRDefault="004C4F2E" w:rsidP="004C4F2E">
            <w:pPr>
              <w:spacing w:after="120"/>
              <w:ind w:right="60"/>
              <w:jc w:val="right"/>
              <w:rPr>
                <w:rFonts w:ascii="Calibri" w:eastAsia="Times New Roman" w:hAnsi="Calibri" w:cs="Calibri"/>
                <w:b/>
                <w:i/>
                <w:color w:val="FFFFFF"/>
                <w:sz w:val="28"/>
              </w:rPr>
            </w:pPr>
            <w:r w:rsidRPr="004C4F2E">
              <w:rPr>
                <w:rFonts w:ascii="Calibri" w:eastAsia="Times New Roman" w:hAnsi="Calibri" w:cs="Calibri"/>
                <w:b/>
                <w:i/>
                <w:color w:val="FFFFFF"/>
                <w:sz w:val="28"/>
              </w:rPr>
              <w:t xml:space="preserve">Che cosa si farà </w:t>
            </w:r>
          </w:p>
        </w:tc>
        <w:tc>
          <w:tcPr>
            <w:tcW w:w="8000" w:type="dxa"/>
            <w:hideMark/>
          </w:tcPr>
          <w:p w:rsidR="004C4F2E" w:rsidRPr="004C4F2E" w:rsidRDefault="004C4F2E" w:rsidP="004C4F2E">
            <w:pPr>
              <w:spacing w:before="80" w:after="120" w:line="220" w:lineRule="auto"/>
              <w:jc w:val="both"/>
              <w:divId w:val="220992404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COMPETENZE SVILUPPATE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582639906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Conoscere le diverse tipologie di stress, burn-out e le caratteristiche del mobbing in azienda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2117558857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Conoscere il quadro normativo relativo a burn-out e mobbing in azienda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1092120321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Promuovere nuove strategie di gestione del benessere nel lungo termine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271472737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Utilizzare strumenti comunicativi e organizzativi per la prevenzione e la gestione di stress e burn-out in azienda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445270623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CONTENUTI FORMATIVI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998191878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 xml:space="preserve">- Definizione di stress, burn-out, mobbing: tipologie e specificità nel contesto aziendale 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390889166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Fattori di rischio e di protezione specifici per ogni tipo di burn-out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1170102589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lastRenderedPageBreak/>
              <w:t>- Quadro normativo relativo al burn-out e al mobbing in azienda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419253880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Elementi e strategie di prevenzione personalizzate, declinate in chiave di diversità, inclusività, sostenibilità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34278864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Approcci pratici alla prevenzione del burn-out, del mobbing e alla promozione dell'inclusività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1588341395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La centralità della relazione e gli strumenti della comunicazione nei nuovi approcci alla gestione del burn-out</w:t>
            </w:r>
          </w:p>
          <w:p w:rsidR="004C4F2E" w:rsidRPr="004C4F2E" w:rsidRDefault="004C4F2E" w:rsidP="004C4F2E">
            <w:pPr>
              <w:spacing w:before="80" w:after="120" w:line="220" w:lineRule="auto"/>
              <w:jc w:val="both"/>
              <w:divId w:val="1408455858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- Comunicazione, ascolto, feedback e gestione dei conflitti: come promuovere relazioni positive e supporto reciproco nella diversità</w:t>
            </w:r>
          </w:p>
        </w:tc>
      </w:tr>
      <w:tr w:rsidR="004C4F2E" w:rsidTr="004C4F2E">
        <w:trPr>
          <w:divId w:val="1114717169"/>
          <w:tblCellSpacing w:w="15" w:type="dxa"/>
        </w:trPr>
        <w:tc>
          <w:tcPr>
            <w:tcW w:w="2000" w:type="dxa"/>
            <w:shd w:val="clear" w:color="auto" w:fill="FFFFFF"/>
            <w:vAlign w:val="center"/>
            <w:hideMark/>
          </w:tcPr>
          <w:p w:rsidR="004C4F2E" w:rsidRPr="004C4F2E" w:rsidRDefault="004C4F2E" w:rsidP="004C4F2E">
            <w:pPr>
              <w:spacing w:after="120"/>
              <w:ind w:right="60"/>
              <w:jc w:val="right"/>
              <w:rPr>
                <w:rFonts w:ascii="Calibri" w:eastAsia="Times New Roman" w:hAnsi="Calibri" w:cs="Calibri"/>
                <w:b/>
                <w:i/>
                <w:color w:val="FF0000"/>
                <w:sz w:val="28"/>
              </w:rPr>
            </w:pPr>
            <w:r w:rsidRPr="004C4F2E">
              <w:rPr>
                <w:rFonts w:ascii="Calibri" w:eastAsia="Times New Roman" w:hAnsi="Calibri" w:cs="Calibri"/>
                <w:b/>
                <w:i/>
                <w:color w:val="FF0000"/>
                <w:sz w:val="28"/>
              </w:rPr>
              <w:lastRenderedPageBreak/>
              <w:t xml:space="preserve">Quanto dura </w:t>
            </w:r>
          </w:p>
        </w:tc>
        <w:tc>
          <w:tcPr>
            <w:tcW w:w="8000" w:type="dxa"/>
            <w:hideMark/>
          </w:tcPr>
          <w:p w:rsidR="004C4F2E" w:rsidRPr="004C4F2E" w:rsidRDefault="004C4F2E" w:rsidP="004C4F2E">
            <w:pPr>
              <w:spacing w:before="80" w:after="120" w:line="220" w:lineRule="auto"/>
              <w:jc w:val="both"/>
              <w:divId w:val="1351882126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Il corso può essere avviato con numero di partecipanti variabile da 1 a 3. Il percorso formativo avrà una durata di 24ore.</w:t>
            </w:r>
          </w:p>
        </w:tc>
      </w:tr>
      <w:tr w:rsidR="004C4F2E" w:rsidTr="004C4F2E">
        <w:trPr>
          <w:divId w:val="1114717169"/>
          <w:tblCellSpacing w:w="15" w:type="dxa"/>
        </w:trPr>
        <w:tc>
          <w:tcPr>
            <w:tcW w:w="2000" w:type="dxa"/>
            <w:shd w:val="clear" w:color="auto" w:fill="FF0000"/>
            <w:vAlign w:val="center"/>
            <w:hideMark/>
          </w:tcPr>
          <w:p w:rsidR="004C4F2E" w:rsidRPr="004C4F2E" w:rsidRDefault="004C4F2E" w:rsidP="004C4F2E">
            <w:pPr>
              <w:spacing w:after="120"/>
              <w:ind w:right="60"/>
              <w:jc w:val="right"/>
              <w:rPr>
                <w:rFonts w:ascii="Calibri" w:eastAsia="Times New Roman" w:hAnsi="Calibri" w:cs="Calibri"/>
                <w:b/>
                <w:i/>
                <w:color w:val="FFFFFF"/>
                <w:sz w:val="28"/>
              </w:rPr>
            </w:pPr>
            <w:r w:rsidRPr="004C4F2E">
              <w:rPr>
                <w:rFonts w:ascii="Calibri" w:eastAsia="Times New Roman" w:hAnsi="Calibri" w:cs="Calibri"/>
                <w:b/>
                <w:i/>
                <w:color w:val="FFFFFF"/>
                <w:sz w:val="28"/>
              </w:rPr>
              <w:t xml:space="preserve">Attestato </w:t>
            </w:r>
          </w:p>
        </w:tc>
        <w:tc>
          <w:tcPr>
            <w:tcW w:w="8000" w:type="dxa"/>
            <w:hideMark/>
          </w:tcPr>
          <w:p w:rsidR="004C4F2E" w:rsidRPr="004C4F2E" w:rsidRDefault="004C4F2E" w:rsidP="004C4F2E">
            <w:pPr>
              <w:spacing w:before="80" w:after="120" w:line="220" w:lineRule="auto"/>
              <w:jc w:val="both"/>
              <w:divId w:val="2057855643"/>
              <w:rPr>
                <w:rFonts w:ascii="Calibri" w:eastAsia="Times New Roman" w:hAnsi="Calibri" w:cs="Calibri"/>
              </w:rPr>
            </w:pPr>
            <w:r w:rsidRPr="004C4F2E">
              <w:rPr>
                <w:rFonts w:ascii="Calibri" w:eastAsia="Times New Roman" w:hAnsi="Calibri" w:cs="Calibri"/>
              </w:rPr>
              <w:t>Attestato di frequenza</w:t>
            </w:r>
          </w:p>
        </w:tc>
      </w:tr>
    </w:tbl>
    <w:p w:rsidR="004C4F2E" w:rsidRDefault="004C4F2E">
      <w:pPr>
        <w:divId w:val="1114717169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8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653"/>
      </w:tblGrid>
      <w:tr w:rsidR="00793284" w:rsidRPr="008B789C" w:rsidTr="005865A5">
        <w:trPr>
          <w:tblCellSpacing w:w="15" w:type="dxa"/>
        </w:trPr>
        <w:tc>
          <w:tcPr>
            <w:tcW w:w="1940" w:type="dxa"/>
            <w:vAlign w:val="center"/>
          </w:tcPr>
          <w:p w:rsidR="00793284" w:rsidRPr="001F095B" w:rsidRDefault="00793284" w:rsidP="005865A5">
            <w:pPr>
              <w:spacing w:after="120"/>
              <w:ind w:right="60"/>
              <w:jc w:val="right"/>
              <w:rPr>
                <w:rFonts w:ascii="Calibri" w:eastAsia="Times New Roman" w:hAnsi="Calibri" w:cs="Calibri"/>
                <w:b/>
                <w:i/>
                <w:color w:val="FF0000"/>
                <w:sz w:val="28"/>
              </w:rPr>
            </w:pPr>
            <w:r>
              <w:rPr>
                <w:rFonts w:ascii="Calibri" w:eastAsia="Times New Roman" w:hAnsi="Calibri" w:cs="Calibri"/>
                <w:b/>
                <w:i/>
                <w:color w:val="FF0000"/>
                <w:sz w:val="28"/>
              </w:rPr>
              <w:t>Per Informazioni</w:t>
            </w:r>
          </w:p>
        </w:tc>
        <w:tc>
          <w:tcPr>
            <w:tcW w:w="7608" w:type="dxa"/>
          </w:tcPr>
          <w:p w:rsidR="00793284" w:rsidRPr="008B789C" w:rsidRDefault="00793284" w:rsidP="005865A5">
            <w:pPr>
              <w:spacing w:before="80" w:after="120" w:line="220" w:lineRule="auto"/>
              <w:jc w:val="both"/>
              <w:rPr>
                <w:rFonts w:ascii="Calibri" w:eastAsia="Times New Roma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4A4D6F80" wp14:editId="17BB4F34">
                  <wp:extent cx="3933068" cy="1047750"/>
                  <wp:effectExtent l="0" t="0" r="0" b="0"/>
                  <wp:docPr id="59850705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94386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993" cy="113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4F2E" w:rsidRPr="004C4F2E" w:rsidRDefault="004C4F2E" w:rsidP="004C4F2E">
      <w:pPr>
        <w:spacing w:after="280"/>
        <w:jc w:val="center"/>
        <w:rPr>
          <w:rFonts w:ascii="Calibri" w:hAnsi="Calibri" w:cs="Calibri"/>
          <w:b/>
          <w:color w:val="FF0000"/>
          <w:sz w:val="36"/>
        </w:rPr>
      </w:pPr>
    </w:p>
    <w:sectPr w:rsidR="004C4F2E" w:rsidRPr="004C4F2E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F2E" w:rsidRDefault="004C4F2E" w:rsidP="004C4F2E">
      <w:pPr>
        <w:spacing w:after="0" w:line="240" w:lineRule="auto"/>
      </w:pPr>
      <w:r>
        <w:separator/>
      </w:r>
    </w:p>
  </w:endnote>
  <w:endnote w:type="continuationSeparator" w:id="0">
    <w:p w:rsidR="004C4F2E" w:rsidRDefault="004C4F2E" w:rsidP="004C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4F2E" w:rsidRPr="004C4F2E" w:rsidRDefault="004C4F2E" w:rsidP="004C4F2E">
    <w:pPr>
      <w:pStyle w:val="Pidipagina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Si è beneficiato del sostegno cofinanziato dal Fondo Sociale Europeo Plus della Regione Autonoma Friuli Venezia Giulia</w:t>
    </w:r>
  </w:p>
  <w:p w:rsidR="004C4F2E" w:rsidRDefault="004C4F2E" w:rsidP="004C4F2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F2E" w:rsidRDefault="004C4F2E" w:rsidP="004C4F2E">
      <w:pPr>
        <w:spacing w:after="0" w:line="240" w:lineRule="auto"/>
      </w:pPr>
      <w:r>
        <w:separator/>
      </w:r>
    </w:p>
  </w:footnote>
  <w:footnote w:type="continuationSeparator" w:id="0">
    <w:p w:rsidR="004C4F2E" w:rsidRDefault="004C4F2E" w:rsidP="004C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4F2E" w:rsidRDefault="004C4F2E" w:rsidP="004C4F2E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611505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4F2E" w:rsidRDefault="004C4F2E" w:rsidP="004C4F2E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2E"/>
    <w:rsid w:val="004C4F2E"/>
    <w:rsid w:val="0070598D"/>
    <w:rsid w:val="00793284"/>
    <w:rsid w:val="008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07C29-2542-44B7-88C1-3ADE7A03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4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F2E"/>
  </w:style>
  <w:style w:type="paragraph" w:styleId="Pidipagina">
    <w:name w:val="footer"/>
    <w:basedOn w:val="Normale"/>
    <w:link w:val="PidipaginaCarattere"/>
    <w:uiPriority w:val="99"/>
    <w:unhideWhenUsed/>
    <w:rsid w:val="004C4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0C905482E2F47BEADDC78DF7E1CC7" ma:contentTypeVersion="17" ma:contentTypeDescription="Create a new document." ma:contentTypeScope="" ma:versionID="f8a1c1d9dfc84701fe4ba9b3c261f340">
  <xsd:schema xmlns:xsd="http://www.w3.org/2001/XMLSchema" xmlns:xs="http://www.w3.org/2001/XMLSchema" xmlns:p="http://schemas.microsoft.com/office/2006/metadata/properties" xmlns:ns2="b5a989cc-b467-4130-96b1-43685547a04a" xmlns:ns3="655793d0-feb0-4bac-9e6d-9a5c82e1fa65" targetNamespace="http://schemas.microsoft.com/office/2006/metadata/properties" ma:root="true" ma:fieldsID="87a8ed2f29770fbbb716dfc63c28fc1e" ns2:_="" ns3:_="">
    <xsd:import namespace="b5a989cc-b467-4130-96b1-43685547a04a"/>
    <xsd:import namespace="655793d0-feb0-4bac-9e6d-9a5c82e1f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89cc-b467-4130-96b1-43685547a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379724-5267-4832-8fb0-e7ef438f9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793d0-feb0-4bac-9e6d-9a5c82e1f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f04cf8-b148-425a-a2bd-54b922a38877}" ma:internalName="TaxCatchAll" ma:showField="CatchAllData" ma:web="655793d0-feb0-4bac-9e6d-9a5c82e1f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793d0-feb0-4bac-9e6d-9a5c82e1fa65" xsi:nil="true"/>
    <lcf76f155ced4ddcb4097134ff3c332f xmlns="b5a989cc-b467-4130-96b1-43685547a0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76B0B-CA7C-4E36-BFE9-44E25F659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989cc-b467-4130-96b1-43685547a04a"/>
    <ds:schemaRef ds:uri="655793d0-feb0-4bac-9e6d-9a5c82e1f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421F7-EE48-49A5-81E9-E4DC09326F46}">
  <ds:schemaRefs>
    <ds:schemaRef ds:uri="http://schemas.microsoft.com/office/2006/metadata/properties"/>
    <ds:schemaRef ds:uri="http://schemas.microsoft.com/office/infopath/2007/PartnerControls"/>
    <ds:schemaRef ds:uri="655793d0-feb0-4bac-9e6d-9a5c82e1fa65"/>
    <ds:schemaRef ds:uri="b5a989cc-b467-4130-96b1-43685547a04a"/>
  </ds:schemaRefs>
</ds:datastoreItem>
</file>

<file path=customXml/itemProps3.xml><?xml version="1.0" encoding="utf-8"?>
<ds:datastoreItem xmlns:ds="http://schemas.openxmlformats.org/officeDocument/2006/customXml" ds:itemID="{1D5328FC-3AA3-40F5-8133-128EA0E4D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Gant</dc:creator>
  <cp:keywords/>
  <dc:description/>
  <cp:lastModifiedBy>Sissy Verardo</cp:lastModifiedBy>
  <cp:revision>2</cp:revision>
  <dcterms:created xsi:type="dcterms:W3CDTF">2024-04-05T08:52:00Z</dcterms:created>
  <dcterms:modified xsi:type="dcterms:W3CDTF">2025-09-19T12:06:00Z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0x0101002800C905482E2F47BEADDC78DF7E1CC7</vt:lpwstr>
  </property>
</Properties>
</file>