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44B0A" w:rsidRDefault="00844B0A" w:rsidP="00844B0A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  <w:r w:rsidRPr="00844B0A">
        <w:rPr>
          <w:rFonts w:ascii="Calibri" w:hAnsi="Calibri" w:cs="Calibri"/>
          <w:b/>
          <w:color w:val="FF0000"/>
          <w:sz w:val="36"/>
        </w:rPr>
        <w:t>WORK LIFE BALANCE: NUOVI MODELLI DI WELFARE AZIENDALE - INDIVIDUALE</w:t>
      </w:r>
    </w:p>
    <w:tbl>
      <w:tblPr>
        <w:tblW w:w="0" w:type="auto"/>
        <w:tblCellSpacing w:w="15" w:type="dxa"/>
        <w:tblCellMar>
          <w:top w:w="15" w:type="dxa"/>
          <w:left w:w="80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1"/>
        <w:gridCol w:w="7627"/>
      </w:tblGrid>
      <w:tr w:rsidR="00844B0A" w:rsidTr="00844B0A">
        <w:trPr>
          <w:divId w:val="800806396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844B0A" w:rsidRPr="00844B0A" w:rsidRDefault="00844B0A" w:rsidP="00844B0A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  <w:szCs w:val="24"/>
              </w:rPr>
            </w:pPr>
            <w:r w:rsidRPr="00844B0A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A chi è rivolto </w:t>
            </w:r>
          </w:p>
        </w:tc>
        <w:tc>
          <w:tcPr>
            <w:tcW w:w="8000" w:type="dxa"/>
            <w:hideMark/>
          </w:tcPr>
          <w:p w:rsidR="00844B0A" w:rsidRPr="00844B0A" w:rsidRDefault="00844B0A" w:rsidP="00844B0A">
            <w:pPr>
              <w:spacing w:before="80" w:after="120" w:line="220" w:lineRule="auto"/>
              <w:jc w:val="both"/>
              <w:divId w:val="2011132395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 xml:space="preserve">Possono partecipare lavoratori con regolare contratto di lavoro; titolari d'impresa o componenti del CDA solo se in possesso di regolare contratto di lavoro (posizione INAIL); soci di cooperative. Sono esclusi i titolari di microimprese. I partecipanti al corso devono prestare l'attività lavorativa in unità operative localizzate sul territorio del FVG. 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1873104328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Nello specifico, il corso è rivolto preferibilmente a Manager, quadri, direzioni aziendali, responsabili di funzione e HR in particolare.</w:t>
            </w:r>
          </w:p>
        </w:tc>
      </w:tr>
      <w:tr w:rsidR="00844B0A" w:rsidTr="00844B0A">
        <w:trPr>
          <w:divId w:val="800806396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844B0A" w:rsidRPr="00844B0A" w:rsidRDefault="00844B0A" w:rsidP="00844B0A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844B0A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t xml:space="preserve">Perché partecipare </w:t>
            </w:r>
          </w:p>
        </w:tc>
        <w:tc>
          <w:tcPr>
            <w:tcW w:w="8000" w:type="dxa"/>
            <w:hideMark/>
          </w:tcPr>
          <w:p w:rsidR="00844B0A" w:rsidRPr="00844B0A" w:rsidRDefault="00844B0A" w:rsidP="00844B0A">
            <w:pPr>
              <w:spacing w:before="80" w:after="120" w:line="220" w:lineRule="auto"/>
              <w:jc w:val="both"/>
              <w:divId w:val="119567605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 xml:space="preserve">Il corso sviluppa competenze per conoscere e utilizzare i più recenti modelli e soluzioni per il welfare aziendale, con particolare focus sugli strumenti per il work life balance e il time management in azienda, per identificare e implementare nel proprio contesto/settore gli strumenti più adatti per favorire la conciliazione vita-lavoro e l'efficienza aziendale. 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420374749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Le sfide per le imprese e le persone occupate a cui il percorso vuole dare risposta sono la crescente consapevolezza dell'importanza dell'equilibrio tra vita professionale e personale, il desiderio di attirare e trattenere talenti e l'adattamento alle mutevoli esigenze della forza lavoro moderna, che hanno tutte in comune il riconoscimento del tempo e del benessere come ricchezza da valorizzare per massimizzare la produttività dell'impresa e la soddisfazione degli individui.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33847794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Il corso si propone di fornire competenze pratiche e modelli per migliorare la qualità della vita lavorativa e aumentare la produttività aziendale attraverso l'implementazione di politiche di welfare mirate e sostenibili, anche con strumenti digitali e innovativi a supporto.</w:t>
            </w:r>
          </w:p>
        </w:tc>
      </w:tr>
      <w:tr w:rsidR="00844B0A" w:rsidTr="00844B0A">
        <w:trPr>
          <w:divId w:val="800806396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844B0A" w:rsidRPr="00844B0A" w:rsidRDefault="00844B0A" w:rsidP="00844B0A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844B0A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Che cosa si farà </w:t>
            </w:r>
          </w:p>
        </w:tc>
        <w:tc>
          <w:tcPr>
            <w:tcW w:w="8000" w:type="dxa"/>
            <w:hideMark/>
          </w:tcPr>
          <w:p w:rsidR="00844B0A" w:rsidRPr="00844B0A" w:rsidRDefault="00844B0A" w:rsidP="00844B0A">
            <w:pPr>
              <w:spacing w:before="80" w:after="120" w:line="220" w:lineRule="auto"/>
              <w:jc w:val="both"/>
              <w:divId w:val="1826892339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COMPETENZE SVILUPPATE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2133935534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 Conoscere i più recenti modelli e soluzioni per il welfare aziendale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928855561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 Comprendere le esigenze di work life balance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247427264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 xml:space="preserve">- Individuare soluzioni appropriate di time management che garantiscano l'efficienza 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728962727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CONTENUTI FORMATIVI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143666943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 I modelli emergenti di welfare aziendale: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1874077570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 Il legame tra raggiungimento di obiettivi/KPI e flessibilità: ripensare il Performance management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1234585650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-Nuovi servizi di welfare aziendale: come creare benessere e salute per i lavoratori e per le comunità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1008411446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 Gli strumenti più comuni per una gestione smart del lavoro: piattaforme digitali e tecnologie abilitanti (task management, comunicazione, cloud, etc.)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1315453542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 Come adottare soluzioni di time management e conciliazione vita-lavoro</w:t>
            </w:r>
          </w:p>
          <w:p w:rsidR="00844B0A" w:rsidRPr="00844B0A" w:rsidRDefault="00844B0A" w:rsidP="00844B0A">
            <w:pPr>
              <w:spacing w:before="80" w:after="120" w:line="220" w:lineRule="auto"/>
              <w:jc w:val="both"/>
              <w:divId w:val="1990551233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- Applicazioni e strumenti digitali per migliorare l'organizzazione aziendale e la qualità di vita personale</w:t>
            </w:r>
          </w:p>
        </w:tc>
      </w:tr>
      <w:tr w:rsidR="00844B0A" w:rsidTr="00844B0A">
        <w:trPr>
          <w:divId w:val="800806396"/>
          <w:tblCellSpacing w:w="15" w:type="dxa"/>
        </w:trPr>
        <w:tc>
          <w:tcPr>
            <w:tcW w:w="2000" w:type="dxa"/>
            <w:shd w:val="clear" w:color="auto" w:fill="FFFFFF"/>
            <w:vAlign w:val="center"/>
            <w:hideMark/>
          </w:tcPr>
          <w:p w:rsidR="00844B0A" w:rsidRPr="00844B0A" w:rsidRDefault="00844B0A" w:rsidP="00844B0A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</w:pPr>
            <w:r w:rsidRPr="00844B0A">
              <w:rPr>
                <w:rFonts w:ascii="Calibri" w:eastAsia="Times New Roman" w:hAnsi="Calibri" w:cs="Calibri"/>
                <w:b/>
                <w:i/>
                <w:color w:val="FF0000"/>
                <w:sz w:val="28"/>
              </w:rPr>
              <w:lastRenderedPageBreak/>
              <w:t xml:space="preserve">Quanto dura </w:t>
            </w:r>
          </w:p>
        </w:tc>
        <w:tc>
          <w:tcPr>
            <w:tcW w:w="8000" w:type="dxa"/>
            <w:hideMark/>
          </w:tcPr>
          <w:p w:rsidR="00844B0A" w:rsidRPr="00844B0A" w:rsidRDefault="00844B0A" w:rsidP="00844B0A">
            <w:pPr>
              <w:spacing w:before="80" w:after="120" w:line="220" w:lineRule="auto"/>
              <w:jc w:val="both"/>
              <w:divId w:val="256377335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Il corso può essere avviato con numero di partecipanti variabile da 1 a 3. Il percorso formativo avrà una durata di 24 ore.</w:t>
            </w:r>
          </w:p>
        </w:tc>
      </w:tr>
      <w:tr w:rsidR="00844B0A" w:rsidTr="00844B0A">
        <w:trPr>
          <w:divId w:val="800806396"/>
          <w:tblCellSpacing w:w="15" w:type="dxa"/>
        </w:trPr>
        <w:tc>
          <w:tcPr>
            <w:tcW w:w="2000" w:type="dxa"/>
            <w:shd w:val="clear" w:color="auto" w:fill="FF0000"/>
            <w:vAlign w:val="center"/>
            <w:hideMark/>
          </w:tcPr>
          <w:p w:rsidR="00844B0A" w:rsidRPr="00844B0A" w:rsidRDefault="00844B0A" w:rsidP="00844B0A">
            <w:pPr>
              <w:spacing w:after="120"/>
              <w:ind w:right="60"/>
              <w:jc w:val="right"/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</w:pPr>
            <w:r w:rsidRPr="00844B0A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>Attestato</w:t>
            </w:r>
            <w:r w:rsidR="006B5C93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 e riferimenti</w:t>
            </w:r>
            <w:r w:rsidRPr="00844B0A">
              <w:rPr>
                <w:rFonts w:ascii="Calibri" w:eastAsia="Times New Roman" w:hAnsi="Calibri" w:cs="Calibri"/>
                <w:b/>
                <w:i/>
                <w:color w:val="FFFFFF"/>
                <w:sz w:val="28"/>
              </w:rPr>
              <w:t xml:space="preserve"> </w:t>
            </w:r>
          </w:p>
        </w:tc>
        <w:tc>
          <w:tcPr>
            <w:tcW w:w="8000" w:type="dxa"/>
            <w:hideMark/>
          </w:tcPr>
          <w:p w:rsidR="00844B0A" w:rsidRPr="00844B0A" w:rsidRDefault="00844B0A" w:rsidP="00844B0A">
            <w:pPr>
              <w:spacing w:before="80" w:after="120" w:line="220" w:lineRule="auto"/>
              <w:jc w:val="both"/>
              <w:divId w:val="1808356659"/>
              <w:rPr>
                <w:rFonts w:ascii="Calibri" w:eastAsia="Times New Roman" w:hAnsi="Calibri" w:cs="Calibri"/>
              </w:rPr>
            </w:pPr>
            <w:r w:rsidRPr="00844B0A">
              <w:rPr>
                <w:rFonts w:ascii="Calibri" w:eastAsia="Times New Roman" w:hAnsi="Calibri" w:cs="Calibri"/>
              </w:rPr>
              <w:t>Attestato di frequenza</w:t>
            </w:r>
          </w:p>
        </w:tc>
      </w:tr>
    </w:tbl>
    <w:p w:rsidR="00844B0A" w:rsidRDefault="00844B0A">
      <w:pPr>
        <w:divId w:val="800806396"/>
        <w:rPr>
          <w:rFonts w:eastAsia="Times New Roman"/>
        </w:rPr>
      </w:pPr>
    </w:p>
    <w:p w:rsidR="00844B0A" w:rsidRPr="00844B0A" w:rsidRDefault="006B5C93" w:rsidP="00844B0A">
      <w:pPr>
        <w:spacing w:after="280"/>
        <w:jc w:val="center"/>
        <w:rPr>
          <w:rFonts w:ascii="Calibri" w:hAnsi="Calibri" w:cs="Calibri"/>
          <w:b/>
          <w:color w:val="FF0000"/>
          <w:sz w:val="36"/>
        </w:rPr>
      </w:pPr>
      <w:r w:rsidRPr="006B5C93">
        <w:rPr>
          <w:rFonts w:ascii="Calibri" w:hAnsi="Calibri" w:cs="Calibri"/>
          <w:b/>
          <w:noProof/>
          <w:color w:val="FF0000"/>
          <w:sz w:val="36"/>
        </w:rPr>
        <w:drawing>
          <wp:inline distT="0" distB="0" distL="0" distR="0">
            <wp:extent cx="4411980" cy="1173480"/>
            <wp:effectExtent l="0" t="0" r="7620" b="7620"/>
            <wp:docPr id="428188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4B0A" w:rsidRPr="00844B0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4B0A" w:rsidRDefault="00844B0A" w:rsidP="00844B0A">
      <w:pPr>
        <w:spacing w:after="0" w:line="240" w:lineRule="auto"/>
      </w:pPr>
      <w:r>
        <w:separator/>
      </w:r>
    </w:p>
  </w:endnote>
  <w:endnote w:type="continuationSeparator" w:id="0">
    <w:p w:rsidR="00844B0A" w:rsidRDefault="00844B0A" w:rsidP="00844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4B0A" w:rsidRPr="00844B0A" w:rsidRDefault="00844B0A" w:rsidP="00844B0A">
    <w:pPr>
      <w:pStyle w:val="Pidipagina"/>
      <w:jc w:val="center"/>
      <w:rPr>
        <w:rFonts w:ascii="Calibri" w:hAnsi="Calibri" w:cs="Calibri"/>
        <w:b/>
        <w:i/>
      </w:rPr>
    </w:pPr>
    <w:r>
      <w:rPr>
        <w:rFonts w:ascii="Calibri" w:hAnsi="Calibri" w:cs="Calibri"/>
        <w:b/>
        <w:i/>
      </w:rPr>
      <w:t>Si è beneficiato del sostegno cofinanziato dal Fondo Sociale Europeo Plus della Regione Autonoma Friuli Venezia Giulia</w:t>
    </w:r>
  </w:p>
  <w:p w:rsidR="00844B0A" w:rsidRDefault="00844B0A" w:rsidP="00844B0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4B0A" w:rsidRDefault="00844B0A" w:rsidP="00844B0A">
      <w:pPr>
        <w:spacing w:after="0" w:line="240" w:lineRule="auto"/>
      </w:pPr>
      <w:r>
        <w:separator/>
      </w:r>
    </w:p>
  </w:footnote>
  <w:footnote w:type="continuationSeparator" w:id="0">
    <w:p w:rsidR="00844B0A" w:rsidRDefault="00844B0A" w:rsidP="00844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44B0A" w:rsidRDefault="00844B0A" w:rsidP="00844B0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6120130" cy="611505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4B0A" w:rsidRDefault="00844B0A" w:rsidP="00844B0A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B0A"/>
    <w:rsid w:val="003128C9"/>
    <w:rsid w:val="006B5C93"/>
    <w:rsid w:val="0073585F"/>
    <w:rsid w:val="008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3D21"/>
  <w15:chartTrackingRefBased/>
  <w15:docId w15:val="{C496C95C-01E9-4C5A-8B03-B32EF1C6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4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4B0A"/>
  </w:style>
  <w:style w:type="paragraph" w:styleId="Pidipagina">
    <w:name w:val="footer"/>
    <w:basedOn w:val="Normale"/>
    <w:link w:val="PidipaginaCarattere"/>
    <w:uiPriority w:val="99"/>
    <w:unhideWhenUsed/>
    <w:rsid w:val="00844B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0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793d0-feb0-4bac-9e6d-9a5c82e1fa65" xsi:nil="true"/>
    <lcf76f155ced4ddcb4097134ff3c332f xmlns="b5a989cc-b467-4130-96b1-43685547a0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0C905482E2F47BEADDC78DF7E1CC7" ma:contentTypeVersion="17" ma:contentTypeDescription="Create a new document." ma:contentTypeScope="" ma:versionID="f8a1c1d9dfc84701fe4ba9b3c261f340">
  <xsd:schema xmlns:xsd="http://www.w3.org/2001/XMLSchema" xmlns:xs="http://www.w3.org/2001/XMLSchema" xmlns:p="http://schemas.microsoft.com/office/2006/metadata/properties" xmlns:ns2="b5a989cc-b467-4130-96b1-43685547a04a" xmlns:ns3="655793d0-feb0-4bac-9e6d-9a5c82e1fa65" targetNamespace="http://schemas.microsoft.com/office/2006/metadata/properties" ma:root="true" ma:fieldsID="87a8ed2f29770fbbb716dfc63c28fc1e" ns2:_="" ns3:_="">
    <xsd:import namespace="b5a989cc-b467-4130-96b1-43685547a04a"/>
    <xsd:import namespace="655793d0-feb0-4bac-9e6d-9a5c82e1f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989cc-b467-4130-96b1-43685547a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379724-5267-4832-8fb0-e7ef438f9b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793d0-feb0-4bac-9e6d-9a5c82e1f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f04cf8-b148-425a-a2bd-54b922a38877}" ma:internalName="TaxCatchAll" ma:showField="CatchAllData" ma:web="655793d0-feb0-4bac-9e6d-9a5c82e1f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467FB-46C4-4F9E-AE64-1D00685E76A4}">
  <ds:schemaRefs>
    <ds:schemaRef ds:uri="http://schemas.microsoft.com/office/2006/metadata/properties"/>
    <ds:schemaRef ds:uri="http://schemas.microsoft.com/office/infopath/2007/PartnerControls"/>
    <ds:schemaRef ds:uri="655793d0-feb0-4bac-9e6d-9a5c82e1fa65"/>
    <ds:schemaRef ds:uri="b5a989cc-b467-4130-96b1-43685547a04a"/>
  </ds:schemaRefs>
</ds:datastoreItem>
</file>

<file path=customXml/itemProps2.xml><?xml version="1.0" encoding="utf-8"?>
<ds:datastoreItem xmlns:ds="http://schemas.openxmlformats.org/officeDocument/2006/customXml" ds:itemID="{7BAA97AA-E5B8-469C-B328-ECEE3DDD91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B14572-2F71-4205-AE6B-C35C95A82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a989cc-b467-4130-96b1-43685547a04a"/>
    <ds:schemaRef ds:uri="655793d0-feb0-4bac-9e6d-9a5c82e1f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Gant</dc:creator>
  <cp:keywords/>
  <dc:description/>
  <cp:lastModifiedBy>Sissy Verardo</cp:lastModifiedBy>
  <cp:revision>2</cp:revision>
  <dcterms:created xsi:type="dcterms:W3CDTF">2024-04-05T08:53:00Z</dcterms:created>
  <dcterms:modified xsi:type="dcterms:W3CDTF">2025-08-07T09:12:00Z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0x0101002800C905482E2F47BEADDC78DF7E1CC7</vt:lpwstr>
  </property>
</Properties>
</file>